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650E8C"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9C433E" w:rsidRDefault="009C433E" w:rsidP="00323003">
      <w:pPr>
        <w:widowControl w:val="0"/>
        <w:tabs>
          <w:tab w:val="center" w:pos="5819"/>
        </w:tabs>
        <w:spacing w:line="240" w:lineRule="exact"/>
        <w:jc w:val="center"/>
        <w:rPr>
          <w:rFonts w:ascii="Times New Roman" w:hAnsi="Times New Roman" w:cs="Times New Roman"/>
          <w:b/>
          <w:bCs/>
          <w:color w:val="000000"/>
          <w:sz w:val="24"/>
          <w:szCs w:val="24"/>
        </w:rPr>
      </w:pPr>
    </w:p>
    <w:p w:rsidR="009C433E" w:rsidRDefault="009C433E"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D745B1" w:rsidRDefault="00D745B1" w:rsidP="00323003">
      <w:pPr>
        <w:widowControl w:val="0"/>
        <w:jc w:val="center"/>
        <w:rPr>
          <w:rFonts w:ascii="Times New Roman" w:hAnsi="Times New Roman" w:cs="Times New Roman"/>
          <w:b/>
          <w:bCs/>
          <w:sz w:val="24"/>
          <w:szCs w:val="24"/>
        </w:rPr>
      </w:pPr>
    </w:p>
    <w:p w:rsidR="00D745B1" w:rsidRDefault="00D745B1" w:rsidP="00323003">
      <w:pPr>
        <w:widowControl w:val="0"/>
        <w:jc w:val="center"/>
        <w:rPr>
          <w:rFonts w:ascii="Times New Roman" w:hAnsi="Times New Roman" w:cs="Times New Roman"/>
          <w:b/>
          <w:bCs/>
          <w:sz w:val="24"/>
          <w:szCs w:val="24"/>
        </w:rPr>
      </w:pPr>
    </w:p>
    <w:p w:rsidR="00323003" w:rsidRPr="009C039C" w:rsidRDefault="0034380D"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MOD-007-0</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Documentation of the Use of Capacity Benefit Margin</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D745B1"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D745B1" w:rsidRDefault="00D745B1"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D745B1" w:rsidRDefault="00D745B1"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D745B1">
        <w:rPr>
          <w:rFonts w:ascii="Times New Roman" w:hAnsi="Times New Roman" w:cs="Times New Roman"/>
          <w:b/>
          <w:bCs/>
          <w:color w:val="264D74"/>
          <w:sz w:val="24"/>
          <w:szCs w:val="24"/>
        </w:rPr>
        <w:t xml:space="preserve">  </w:t>
      </w:r>
      <w:r w:rsidR="00B608A3">
        <w:rPr>
          <w:rFonts w:ascii="Times New Roman" w:hAnsi="Times New Roman" w:cs="Times New Roman"/>
          <w:b/>
          <w:bCs/>
          <w:color w:val="000000"/>
          <w:sz w:val="24"/>
          <w:szCs w:val="24"/>
        </w:rPr>
        <w:t>TSP</w:t>
      </w:r>
    </w:p>
    <w:p w:rsidR="00D745B1" w:rsidRDefault="00D745B1" w:rsidP="00D745B1">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D745B1">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E20464" w:rsidRDefault="00AD5422" w:rsidP="00E20464">
      <w:pPr>
        <w:pStyle w:val="Heading1"/>
      </w:pPr>
      <w:r w:rsidRPr="00E20464">
        <w:lastRenderedPageBreak/>
        <w:t>Subject Matter Experts</w:t>
      </w:r>
    </w:p>
    <w:p w:rsidR="00D745B1" w:rsidRDefault="00D745B1"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AD5422" w:rsidP="00D745B1">
      <w:pPr>
        <w:pStyle w:val="Heading1"/>
      </w:pPr>
      <w:r>
        <w:rPr>
          <w:rFonts w:ascii="Times New Roman" w:hAnsi="Times New Roman" w:cs="Times New Roman"/>
          <w:b/>
          <w:bCs/>
          <w:color w:val="003366"/>
          <w:sz w:val="24"/>
          <w:szCs w:val="24"/>
        </w:rPr>
        <w:br w:type="page"/>
      </w:r>
      <w:r w:rsidR="00C23A94">
        <w:t>Reliability Standard Language</w:t>
      </w:r>
    </w:p>
    <w:p w:rsidR="00D745B1" w:rsidRPr="00D745B1" w:rsidRDefault="00D745B1" w:rsidP="00D745B1"/>
    <w:p w:rsidR="00D745B1" w:rsidRPr="001F467C" w:rsidRDefault="00D745B1" w:rsidP="00D745B1">
      <w:pPr>
        <w:widowControl w:val="0"/>
        <w:spacing w:line="40" w:lineRule="exact"/>
        <w:rPr>
          <w:rFonts w:ascii="Times New Roman" w:hAnsi="Times New Roman" w:cs="Times New Roman"/>
          <w:sz w:val="24"/>
          <w:szCs w:val="24"/>
        </w:rPr>
      </w:pPr>
    </w:p>
    <w:p w:rsidR="00D745B1" w:rsidRPr="001F467C" w:rsidRDefault="00D745B1" w:rsidP="00D745B1">
      <w:pPr>
        <w:widowControl w:val="0"/>
        <w:shd w:val="clear" w:color="auto" w:fill="D3DCE9"/>
        <w:spacing w:line="120" w:lineRule="exact"/>
        <w:rPr>
          <w:rFonts w:ascii="Times New Roman" w:hAnsi="Times New Roman" w:cs="Times New Roman"/>
          <w:sz w:val="24"/>
          <w:szCs w:val="24"/>
        </w:rPr>
      </w:pPr>
    </w:p>
    <w:p w:rsidR="00D745B1" w:rsidRDefault="00D745B1" w:rsidP="00D745B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1F467C">
        <w:rPr>
          <w:rFonts w:ascii="Times New Roman" w:hAnsi="Times New Roman" w:cs="Times New Roman"/>
          <w:sz w:val="24"/>
          <w:szCs w:val="24"/>
        </w:rPr>
        <w:tab/>
      </w:r>
      <w:r>
        <w:rPr>
          <w:rFonts w:ascii="Times New Roman" w:hAnsi="Times New Roman" w:cs="Times New Roman"/>
          <w:b/>
          <w:bCs/>
          <w:color w:val="003366"/>
          <w:sz w:val="24"/>
          <w:szCs w:val="24"/>
        </w:rPr>
        <w:t>MOD-001-1</w:t>
      </w:r>
      <w:r w:rsidRPr="001F467C">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Pr>
          <w:rFonts w:ascii="Times New Roman" w:hAnsi="Times New Roman" w:cs="Times New Roman"/>
          <w:b/>
          <w:bCs/>
          <w:color w:val="264D74"/>
          <w:sz w:val="24"/>
          <w:szCs w:val="24"/>
        </w:rPr>
        <w:t>Documentation of the Use of Capacity Benefit Margin</w:t>
      </w:r>
    </w:p>
    <w:p w:rsidR="00D745B1" w:rsidRPr="001F467C" w:rsidRDefault="00D745B1" w:rsidP="00D745B1">
      <w:pPr>
        <w:widowControl w:val="0"/>
        <w:shd w:val="clear" w:color="auto" w:fill="D3DCE9"/>
        <w:tabs>
          <w:tab w:val="left" w:pos="120"/>
        </w:tabs>
        <w:spacing w:line="240" w:lineRule="exact"/>
        <w:rPr>
          <w:rFonts w:ascii="Times New Roman" w:hAnsi="Times New Roman" w:cs="Times New Roman"/>
          <w:sz w:val="24"/>
          <w:szCs w:val="24"/>
        </w:rPr>
      </w:pPr>
    </w:p>
    <w:p w:rsidR="00D745B1" w:rsidRPr="001F467C" w:rsidRDefault="00D745B1" w:rsidP="00D745B1">
      <w:pPr>
        <w:widowControl w:val="0"/>
        <w:spacing w:line="120"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rsidP="0034380D">
      <w:pPr>
        <w:rPr>
          <w:rFonts w:ascii="Times New Roman" w:hAnsi="Times New Roman" w:cs="Times New Roman"/>
          <w:sz w:val="24"/>
          <w:szCs w:val="24"/>
        </w:rPr>
      </w:pPr>
      <w:r w:rsidRPr="009C039C">
        <w:rPr>
          <w:rFonts w:ascii="Times New Roman" w:hAnsi="Times New Roman" w:cs="Times New Roman"/>
          <w:b/>
          <w:bCs/>
          <w:color w:val="264D74"/>
          <w:sz w:val="24"/>
          <w:szCs w:val="24"/>
        </w:rPr>
        <w:t xml:space="preserve">Purpose: </w:t>
      </w:r>
      <w:r w:rsidR="0034380D" w:rsidRPr="0034380D">
        <w:rPr>
          <w:rFonts w:ascii="Times New Roman" w:hAnsi="Times New Roman" w:cs="Times New Roman"/>
          <w:sz w:val="24"/>
          <w:szCs w:val="24"/>
        </w:rPr>
        <w:t>To promote the consistent and uniform application of Transfer Capability margin calculations among transmission system users by developing methodologies for calculating Capacity Benefit Margin (CBM).  This methodology shall comply with NERC definitions for CBM, the NERC Reliability Standards, and applicable Regional criteria.</w:t>
      </w:r>
      <w:r w:rsidR="0034380D">
        <w:rPr>
          <w:szCs w:val="22"/>
        </w:rPr>
        <w:t xml:space="preserve">  </w:t>
      </w:r>
    </w:p>
    <w:p w:rsidR="0063701C" w:rsidRDefault="0063701C">
      <w:pPr>
        <w:widowControl w:val="0"/>
        <w:tabs>
          <w:tab w:val="left" w:pos="840"/>
        </w:tabs>
        <w:spacing w:line="294"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D745B1" w:rsidRDefault="00E8453A" w:rsidP="00D745B1">
      <w:pPr>
        <w:widowControl w:val="0"/>
        <w:tabs>
          <w:tab w:val="left" w:pos="840"/>
        </w:tabs>
        <w:spacing w:line="294" w:lineRule="exact"/>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Pr="00D745B1" w:rsidRDefault="00D745B1" w:rsidP="00D745B1">
      <w:pPr>
        <w:widowControl w:val="0"/>
        <w:tabs>
          <w:tab w:val="left" w:pos="840"/>
        </w:tabs>
        <w:spacing w:line="294" w:lineRule="exact"/>
        <w:rPr>
          <w:rFonts w:ascii="Times New Roman" w:hAnsi="Times New Roman" w:cs="Times New Roman"/>
          <w:color w:val="000000"/>
          <w:sz w:val="24"/>
          <w:szCs w:val="24"/>
        </w:rPr>
      </w:pPr>
      <w:r w:rsidRPr="00D745B1">
        <w:rPr>
          <w:rFonts w:ascii="Times New Roman" w:hAnsi="Times New Roman" w:cs="Times New Roman"/>
          <w:bCs/>
          <w:color w:val="000000"/>
          <w:sz w:val="24"/>
          <w:szCs w:val="24"/>
        </w:rPr>
        <w:tab/>
        <w:t>Transmission Service Provider</w:t>
      </w:r>
      <w:r w:rsidR="007C44D6" w:rsidRPr="00D745B1">
        <w:rPr>
          <w:rFonts w:ascii="Times New Roman" w:hAnsi="Times New Roman" w:cs="Times New Roman"/>
          <w:color w:val="000000"/>
          <w:sz w:val="24"/>
          <w:szCs w:val="24"/>
        </w:rPr>
        <w:tab/>
      </w:r>
    </w:p>
    <w:p w:rsidR="00E8453A" w:rsidRDefault="00E8453A">
      <w:pPr>
        <w:widowControl w:val="0"/>
        <w:spacing w:line="254" w:lineRule="exact"/>
        <w:rPr>
          <w:rFonts w:ascii="Times New Roman" w:hAnsi="Times New Roman" w:cs="Times New Roman"/>
          <w:sz w:val="24"/>
          <w:szCs w:val="24"/>
        </w:rPr>
      </w:pPr>
    </w:p>
    <w:p w:rsidR="0063701C" w:rsidRPr="009C039C" w:rsidRDefault="0063701C">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D2E0F">
        <w:rPr>
          <w:rFonts w:ascii="Times New Roman" w:hAnsi="Times New Roman" w:cs="Times New Roman"/>
          <w:b/>
          <w:bCs/>
          <w:color w:val="000000"/>
          <w:sz w:val="24"/>
          <w:szCs w:val="24"/>
        </w:rPr>
        <w:t>2/</w:t>
      </w:r>
      <w:r w:rsidR="00335A3D">
        <w:rPr>
          <w:rFonts w:ascii="Times New Roman" w:hAnsi="Times New Roman" w:cs="Times New Roman"/>
          <w:b/>
          <w:bCs/>
          <w:color w:val="000000"/>
          <w:sz w:val="24"/>
          <w:szCs w:val="24"/>
        </w:rPr>
        <w:t>8</w:t>
      </w:r>
      <w:r w:rsidR="00BD2E0F">
        <w:rPr>
          <w:rFonts w:ascii="Times New Roman" w:hAnsi="Times New Roman" w:cs="Times New Roman"/>
          <w:b/>
          <w:bCs/>
          <w:color w:val="000000"/>
          <w:sz w:val="24"/>
          <w:szCs w:val="24"/>
        </w:rPr>
        <w:t>/2005</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D2E0F">
        <w:rPr>
          <w:rFonts w:ascii="Times New Roman" w:hAnsi="Times New Roman" w:cs="Times New Roman"/>
          <w:b/>
          <w:bCs/>
          <w:color w:val="000000"/>
          <w:sz w:val="24"/>
          <w:szCs w:val="24"/>
        </w:rPr>
        <w:t>3</w:t>
      </w:r>
      <w:r w:rsidRPr="009C039C">
        <w:rPr>
          <w:rFonts w:ascii="Times New Roman" w:hAnsi="Times New Roman" w:cs="Times New Roman"/>
          <w:b/>
          <w:bCs/>
          <w:color w:val="000000"/>
          <w:sz w:val="24"/>
          <w:szCs w:val="24"/>
        </w:rPr>
        <w:t>/16/200</w:t>
      </w:r>
      <w:r w:rsidR="00BD2E0F">
        <w:rPr>
          <w:rFonts w:ascii="Times New Roman" w:hAnsi="Times New Roman" w:cs="Times New Roman"/>
          <w:b/>
          <w:bCs/>
          <w:color w:val="000000"/>
          <w:sz w:val="24"/>
          <w:szCs w:val="24"/>
        </w:rPr>
        <w:t>7</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BD2E0F">
        <w:rPr>
          <w:rFonts w:ascii="Times New Roman" w:hAnsi="Times New Roman" w:cs="Times New Roman"/>
          <w:b/>
          <w:bCs/>
          <w:color w:val="000000"/>
          <w:sz w:val="24"/>
          <w:szCs w:val="24"/>
        </w:rPr>
        <w:t>6</w:t>
      </w:r>
      <w:r w:rsidR="00B608A3">
        <w:rPr>
          <w:rFonts w:ascii="Times New Roman" w:hAnsi="Times New Roman" w:cs="Times New Roman"/>
          <w:b/>
          <w:bCs/>
          <w:color w:val="000000"/>
          <w:sz w:val="24"/>
          <w:szCs w:val="24"/>
        </w:rPr>
        <w:t>/1</w:t>
      </w:r>
      <w:r w:rsidR="00BD2E0F">
        <w:rPr>
          <w:rFonts w:ascii="Times New Roman" w:hAnsi="Times New Roman" w:cs="Times New Roman"/>
          <w:b/>
          <w:bCs/>
          <w:color w:val="000000"/>
          <w:sz w:val="24"/>
          <w:szCs w:val="24"/>
        </w:rPr>
        <w:t>8</w:t>
      </w:r>
      <w:r w:rsidR="00B608A3">
        <w:rPr>
          <w:rFonts w:ascii="Times New Roman" w:hAnsi="Times New Roman" w:cs="Times New Roman"/>
          <w:b/>
          <w:bCs/>
          <w:color w:val="000000"/>
          <w:sz w:val="24"/>
          <w:szCs w:val="24"/>
        </w:rPr>
        <w:t>/20</w:t>
      </w:r>
      <w:r w:rsidR="00BD2E0F">
        <w:rPr>
          <w:rFonts w:ascii="Times New Roman" w:hAnsi="Times New Roman" w:cs="Times New Roman"/>
          <w:b/>
          <w:bCs/>
          <w:color w:val="000000"/>
          <w:sz w:val="24"/>
          <w:szCs w:val="24"/>
        </w:rPr>
        <w:t>07</w:t>
      </w:r>
    </w:p>
    <w:p w:rsidR="005916FC" w:rsidRDefault="005916FC">
      <w:pPr>
        <w:widowControl w:val="0"/>
        <w:spacing w:line="334" w:lineRule="exact"/>
        <w:rPr>
          <w:rFonts w:ascii="Times New Roman" w:hAnsi="Times New Roman" w:cs="Times New Roman"/>
          <w:b/>
          <w:bCs/>
          <w:color w:val="264D74"/>
          <w:sz w:val="24"/>
          <w:szCs w:val="24"/>
        </w:rPr>
      </w:pPr>
    </w:p>
    <w:p w:rsidR="0063701C" w:rsidRDefault="0063701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34380D" w:rsidRPr="0034380D" w:rsidRDefault="0034380D" w:rsidP="0034380D">
      <w:pPr>
        <w:pStyle w:val="Requirement"/>
      </w:pPr>
      <w:r w:rsidRPr="0034380D">
        <w:t>Each Transmission Service Provider that uses CBM shall report (to the Regional Reliability Organization, NERC and the transmission users) the use of CBM by the Load-Serving Entities’ Loads on its system, except for CBM sales as Non-Firm Transmission Service. (This use of CBM shall be consistent with the Transmission Service Provider’s procedure for use of CBM.)</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DE26C2" w:rsidRDefault="00AD5422" w:rsidP="000F5E13">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0F5E13">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E079E" w:rsidRDefault="009E079E" w:rsidP="009E079E">
      <w:pPr>
        <w:widowControl w:val="0"/>
        <w:tabs>
          <w:tab w:val="left" w:pos="720"/>
        </w:tabs>
        <w:spacing w:line="294" w:lineRule="exact"/>
        <w:ind w:left="720"/>
        <w:rPr>
          <w:rFonts w:ascii="Times New Roman" w:hAnsi="Times New Roman" w:cs="Times New Roman"/>
          <w:b/>
          <w:bCs/>
          <w:sz w:val="24"/>
          <w:szCs w:val="24"/>
        </w:rPr>
      </w:pPr>
    </w:p>
    <w:p w:rsidR="00DE26C2" w:rsidRPr="00D745B1" w:rsidRDefault="009E079E" w:rsidP="009E079E">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D745B1">
        <w:rPr>
          <w:rFonts w:ascii="Times New Roman" w:hAnsi="Times New Roman" w:cs="Times New Roman"/>
          <w:bCs/>
          <w:sz w:val="24"/>
          <w:szCs w:val="24"/>
        </w:rPr>
        <w:t xml:space="preserve">Did the TSP use CBM during the audit period? If yes, </w:t>
      </w:r>
      <w:r w:rsidR="00DE26C2" w:rsidRPr="00D745B1">
        <w:rPr>
          <w:rFonts w:ascii="Times New Roman" w:hAnsi="Times New Roman" w:cs="Times New Roman"/>
          <w:bCs/>
          <w:sz w:val="24"/>
          <w:szCs w:val="24"/>
        </w:rPr>
        <w:t xml:space="preserve">provide a description of the use and how it was consistent with the TSP’s procedure for use of CBM. </w:t>
      </w:r>
    </w:p>
    <w:p w:rsidR="009E079E" w:rsidRPr="009C039C" w:rsidRDefault="009E079E" w:rsidP="009E079E">
      <w:pPr>
        <w:widowControl w:val="0"/>
        <w:tabs>
          <w:tab w:val="left" w:pos="720"/>
        </w:tabs>
        <w:spacing w:line="294" w:lineRule="exact"/>
        <w:ind w:left="720"/>
        <w:rPr>
          <w:rFonts w:ascii="Times New Roman" w:hAnsi="Times New Roman" w:cs="Times New Roman"/>
          <w:b/>
          <w:bCs/>
          <w:i/>
          <w:iCs/>
          <w:color w:val="000000"/>
          <w:sz w:val="24"/>
          <w:szCs w:val="24"/>
        </w:rPr>
      </w:pP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9E079E" w:rsidRPr="009C039C" w:rsidRDefault="009E079E" w:rsidP="009E079E">
      <w:pPr>
        <w:widowControl w:val="0"/>
        <w:tabs>
          <w:tab w:val="left" w:pos="720"/>
        </w:tabs>
        <w:spacing w:line="186" w:lineRule="exact"/>
        <w:ind w:left="720"/>
        <w:rPr>
          <w:rFonts w:ascii="Times New Roman" w:hAnsi="Times New Roman" w:cs="Times New Roman"/>
          <w:sz w:val="24"/>
          <w:szCs w:val="24"/>
        </w:rPr>
      </w:pPr>
    </w:p>
    <w:p w:rsidR="009E079E" w:rsidRPr="009C039C" w:rsidRDefault="009E079E" w:rsidP="009E079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9E079E" w:rsidRPr="009C039C" w:rsidRDefault="009E079E" w:rsidP="009E079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733CDB" w:rsidRPr="0063701C" w:rsidRDefault="00733CDB" w:rsidP="0063701C">
      <w:pPr>
        <w:pStyle w:val="Heading1"/>
      </w:pPr>
      <w:r w:rsidRPr="0063701C">
        <w:t>R1 Supporting Evidence and Documentation</w:t>
      </w:r>
    </w:p>
    <w:p w:rsidR="00733CDB" w:rsidRDefault="00733CDB" w:rsidP="00733CDB">
      <w:pPr>
        <w:widowControl w:val="0"/>
        <w:spacing w:line="266" w:lineRule="exact"/>
        <w:rPr>
          <w:rFonts w:ascii="Times New Roman" w:hAnsi="Times New Roman" w:cs="Times New Roman"/>
          <w:b/>
          <w:bCs/>
          <w:color w:val="FF0000"/>
          <w:sz w:val="24"/>
          <w:szCs w:val="24"/>
        </w:rPr>
      </w:pPr>
    </w:p>
    <w:p w:rsidR="00733CDB" w:rsidRDefault="00733CDB" w:rsidP="00733CD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33CDB" w:rsidRDefault="00733CDB" w:rsidP="00733CD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33CDB" w:rsidTr="00733CDB">
        <w:trPr>
          <w:gridAfter w:val="1"/>
          <w:wAfter w:w="1224" w:type="dxa"/>
          <w:trHeight w:val="945"/>
        </w:trPr>
        <w:tc>
          <w:tcPr>
            <w:tcW w:w="1098" w:type="dxa"/>
            <w:tcBorders>
              <w:top w:val="nil"/>
              <w:left w:val="nil"/>
              <w:bottom w:val="nil"/>
              <w:right w:val="nil"/>
            </w:tcBorders>
          </w:tcPr>
          <w:p w:rsidR="00733CDB" w:rsidRDefault="00733CD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33CDB" w:rsidRDefault="00733CD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33CDB" w:rsidRDefault="00733CD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33CDB" w:rsidTr="00733CDB">
        <w:tc>
          <w:tcPr>
            <w:tcW w:w="7848" w:type="dxa"/>
            <w:gridSpan w:val="2"/>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hideMark/>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bl>
    <w:p w:rsidR="00733CDB" w:rsidRDefault="00733CDB"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BD2E0F">
        <w:rPr>
          <w:rFonts w:ascii="Times New Roman" w:hAnsi="Times New Roman" w:cs="Times New Roman"/>
          <w:b/>
          <w:bCs/>
          <w:color w:val="264D74"/>
          <w:sz w:val="24"/>
          <w:szCs w:val="24"/>
        </w:rPr>
        <w:t>MOD-007</w:t>
      </w:r>
      <w:r>
        <w:rPr>
          <w:rFonts w:ascii="Times New Roman" w:hAnsi="Times New Roman" w:cs="Times New Roman"/>
          <w:b/>
          <w:bCs/>
          <w:color w:val="264D74"/>
          <w:sz w:val="24"/>
          <w:szCs w:val="24"/>
        </w:rPr>
        <w:t>-</w:t>
      </w:r>
      <w:r w:rsidR="00BD2E0F">
        <w:rPr>
          <w:rFonts w:ascii="Times New Roman" w:hAnsi="Times New Roman" w:cs="Times New Roman"/>
          <w:b/>
          <w:bCs/>
          <w:color w:val="264D74"/>
          <w:sz w:val="24"/>
          <w:szCs w:val="24"/>
        </w:rPr>
        <w:t>0 R1</w:t>
      </w:r>
    </w:p>
    <w:p w:rsidR="00AD5422" w:rsidRPr="009C039C" w:rsidRDefault="00AD5422" w:rsidP="00AD5422">
      <w:pPr>
        <w:widowControl w:val="0"/>
        <w:spacing w:line="106" w:lineRule="exact"/>
        <w:rPr>
          <w:rFonts w:ascii="Times New Roman" w:hAnsi="Times New Roman" w:cs="Times New Roman"/>
          <w:sz w:val="24"/>
          <w:szCs w:val="24"/>
        </w:rPr>
      </w:pPr>
    </w:p>
    <w:p w:rsidR="004D738D" w:rsidRPr="009C039C" w:rsidRDefault="004D738D" w:rsidP="00AD5422">
      <w:pPr>
        <w:widowControl w:val="0"/>
        <w:spacing w:line="147" w:lineRule="exact"/>
        <w:rPr>
          <w:rFonts w:ascii="Times New Roman" w:hAnsi="Times New Roman" w:cs="Times New Roman"/>
          <w:sz w:val="24"/>
          <w:szCs w:val="24"/>
        </w:rPr>
      </w:pPr>
    </w:p>
    <w:p w:rsidR="00DE26C2" w:rsidRDefault="004D738D" w:rsidP="00AD5422">
      <w:pPr>
        <w:widowControl w:val="0"/>
        <w:tabs>
          <w:tab w:val="left" w:pos="1080"/>
        </w:tabs>
        <w:spacing w:line="284" w:lineRule="exact"/>
        <w:ind w:left="1620" w:hanging="1620"/>
        <w:rPr>
          <w:rFonts w:ascii="Times New Roman" w:hAnsi="Times New Roman" w:cs="Times New Roman"/>
          <w:bCs/>
          <w:color w:val="365F91"/>
          <w:sz w:val="24"/>
          <w:szCs w:val="24"/>
        </w:rPr>
      </w:pPr>
      <w:r>
        <w:rPr>
          <w:rFonts w:ascii="Times New Roman" w:hAnsi="Times New Roman" w:cs="Times New Roman"/>
          <w:bCs/>
          <w:color w:val="365F91"/>
          <w:sz w:val="24"/>
          <w:szCs w:val="24"/>
        </w:rPr>
        <w:tab/>
      </w: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w:t>
      </w:r>
      <w:r w:rsidR="00DE26C2">
        <w:rPr>
          <w:rFonts w:ascii="Times New Roman" w:hAnsi="Times New Roman" w:cs="Times New Roman"/>
          <w:bCs/>
          <w:color w:val="365F91"/>
          <w:sz w:val="24"/>
          <w:szCs w:val="24"/>
        </w:rPr>
        <w:t xml:space="preserve">Verify </w:t>
      </w:r>
      <w:r>
        <w:rPr>
          <w:rFonts w:ascii="Times New Roman" w:hAnsi="Times New Roman" w:cs="Times New Roman"/>
          <w:bCs/>
          <w:color w:val="365F91"/>
          <w:sz w:val="24"/>
          <w:szCs w:val="24"/>
        </w:rPr>
        <w:t>the TSP</w:t>
      </w:r>
      <w:r w:rsidR="009E079E">
        <w:rPr>
          <w:rFonts w:ascii="Times New Roman" w:hAnsi="Times New Roman" w:cs="Times New Roman"/>
          <w:bCs/>
          <w:color w:val="365F91"/>
          <w:sz w:val="24"/>
          <w:szCs w:val="24"/>
        </w:rPr>
        <w:t xml:space="preserve"> </w:t>
      </w:r>
      <w:r w:rsidRPr="00BD2E0F">
        <w:rPr>
          <w:rFonts w:ascii="Times New Roman" w:hAnsi="Times New Roman" w:cs="Times New Roman"/>
          <w:bCs/>
          <w:color w:val="365F91"/>
          <w:sz w:val="24"/>
          <w:szCs w:val="24"/>
        </w:rPr>
        <w:t>report</w:t>
      </w:r>
      <w:r w:rsidR="00DE26C2">
        <w:rPr>
          <w:rFonts w:ascii="Times New Roman" w:hAnsi="Times New Roman" w:cs="Times New Roman"/>
          <w:bCs/>
          <w:color w:val="365F91"/>
          <w:sz w:val="24"/>
          <w:szCs w:val="24"/>
        </w:rPr>
        <w:t>ed</w:t>
      </w:r>
      <w:r w:rsidRPr="00BD2E0F">
        <w:rPr>
          <w:rFonts w:ascii="Times New Roman" w:hAnsi="Times New Roman" w:cs="Times New Roman"/>
          <w:bCs/>
          <w:color w:val="365F91"/>
          <w:sz w:val="24"/>
          <w:szCs w:val="24"/>
        </w:rPr>
        <w:t xml:space="preserve"> (to the R</w:t>
      </w:r>
      <w:r w:rsidR="00657AC2">
        <w:rPr>
          <w:rFonts w:ascii="Times New Roman" w:hAnsi="Times New Roman" w:cs="Times New Roman"/>
          <w:bCs/>
          <w:color w:val="365F91"/>
          <w:sz w:val="24"/>
          <w:szCs w:val="24"/>
        </w:rPr>
        <w:t>RO</w:t>
      </w:r>
      <w:r w:rsidRPr="00BD2E0F">
        <w:rPr>
          <w:rFonts w:ascii="Times New Roman" w:hAnsi="Times New Roman" w:cs="Times New Roman"/>
          <w:bCs/>
          <w:color w:val="365F91"/>
          <w:sz w:val="24"/>
          <w:szCs w:val="24"/>
        </w:rPr>
        <w:t>, NERC and the transmission users) the use of CBM by the L</w:t>
      </w:r>
      <w:r w:rsidR="00DE26C2">
        <w:rPr>
          <w:rFonts w:ascii="Times New Roman" w:hAnsi="Times New Roman" w:cs="Times New Roman"/>
          <w:bCs/>
          <w:color w:val="365F91"/>
          <w:sz w:val="24"/>
          <w:szCs w:val="24"/>
        </w:rPr>
        <w:t>SE</w:t>
      </w:r>
      <w:r w:rsidRPr="00BD2E0F">
        <w:rPr>
          <w:rFonts w:ascii="Times New Roman" w:hAnsi="Times New Roman" w:cs="Times New Roman"/>
          <w:bCs/>
          <w:color w:val="365F91"/>
          <w:sz w:val="24"/>
          <w:szCs w:val="24"/>
        </w:rPr>
        <w:t xml:space="preserve">s’ </w:t>
      </w:r>
      <w:r w:rsidR="00E20464">
        <w:rPr>
          <w:rFonts w:ascii="Times New Roman" w:hAnsi="Times New Roman" w:cs="Times New Roman"/>
          <w:bCs/>
          <w:color w:val="365F91"/>
          <w:sz w:val="24"/>
          <w:szCs w:val="24"/>
        </w:rPr>
        <w:t>L</w:t>
      </w:r>
      <w:r w:rsidRPr="00BD2E0F">
        <w:rPr>
          <w:rFonts w:ascii="Times New Roman" w:hAnsi="Times New Roman" w:cs="Times New Roman"/>
          <w:bCs/>
          <w:color w:val="365F91"/>
          <w:sz w:val="24"/>
          <w:szCs w:val="24"/>
        </w:rPr>
        <w:t>oads on its system, except for CBM sales as Non-Firm Transmissi</w:t>
      </w:r>
      <w:r w:rsidR="00DE26C2">
        <w:rPr>
          <w:rFonts w:ascii="Times New Roman" w:hAnsi="Times New Roman" w:cs="Times New Roman"/>
          <w:bCs/>
          <w:color w:val="365F91"/>
          <w:sz w:val="24"/>
          <w:szCs w:val="24"/>
        </w:rPr>
        <w:t>on Service.</w:t>
      </w:r>
      <w:r w:rsidRPr="00BD2E0F">
        <w:rPr>
          <w:rFonts w:ascii="Times New Roman" w:hAnsi="Times New Roman" w:cs="Times New Roman"/>
          <w:bCs/>
          <w:color w:val="365F91"/>
          <w:sz w:val="24"/>
          <w:szCs w:val="24"/>
        </w:rPr>
        <w:t xml:space="preserve"> </w:t>
      </w:r>
    </w:p>
    <w:p w:rsidR="00DE26C2" w:rsidRDefault="00DE26C2" w:rsidP="00AD5422">
      <w:pPr>
        <w:widowControl w:val="0"/>
        <w:tabs>
          <w:tab w:val="left" w:pos="1080"/>
        </w:tabs>
        <w:spacing w:line="284" w:lineRule="exact"/>
        <w:ind w:left="1620" w:hanging="1620"/>
        <w:rPr>
          <w:rFonts w:ascii="Times New Roman" w:hAnsi="Times New Roman" w:cs="Times New Roman"/>
          <w:bCs/>
          <w:color w:val="365F91"/>
          <w:sz w:val="24"/>
          <w:szCs w:val="24"/>
        </w:rPr>
      </w:pPr>
    </w:p>
    <w:p w:rsidR="00DE26C2" w:rsidRDefault="00DE26C2" w:rsidP="00657AC2">
      <w:pPr>
        <w:widowControl w:val="0"/>
        <w:tabs>
          <w:tab w:val="left" w:pos="1080"/>
        </w:tabs>
        <w:spacing w:line="284" w:lineRule="exact"/>
        <w:ind w:left="1080" w:hanging="1620"/>
        <w:rPr>
          <w:rFonts w:ascii="Times New Roman" w:hAnsi="Times New Roman" w:cs="Times New Roman"/>
          <w:bCs/>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Verify the TSP </w:t>
      </w:r>
      <w:r w:rsidRPr="00BD2E0F">
        <w:rPr>
          <w:rFonts w:ascii="Times New Roman" w:hAnsi="Times New Roman" w:cs="Times New Roman"/>
          <w:bCs/>
          <w:color w:val="365F91"/>
          <w:sz w:val="24"/>
          <w:szCs w:val="24"/>
        </w:rPr>
        <w:t>report</w:t>
      </w:r>
      <w:r>
        <w:rPr>
          <w:rFonts w:ascii="Times New Roman" w:hAnsi="Times New Roman" w:cs="Times New Roman"/>
          <w:bCs/>
          <w:color w:val="365F91"/>
          <w:sz w:val="24"/>
          <w:szCs w:val="24"/>
        </w:rPr>
        <w:t xml:space="preserve"> was consistent with the TSP’s procedure for use of CBM.</w:t>
      </w: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63701C" w:rsidRPr="009C039C" w:rsidRDefault="0063701C"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34380D" w:rsidRPr="0034380D" w:rsidRDefault="0034380D" w:rsidP="0034380D">
      <w:pPr>
        <w:pStyle w:val="ListParagraph"/>
        <w:numPr>
          <w:ilvl w:val="0"/>
          <w:numId w:val="4"/>
        </w:numPr>
        <w:tabs>
          <w:tab w:val="left" w:pos="2592"/>
          <w:tab w:val="left" w:pos="3240"/>
        </w:tabs>
        <w:autoSpaceDE/>
        <w:autoSpaceDN/>
        <w:adjustRightInd/>
        <w:spacing w:after="120"/>
        <w:rPr>
          <w:rFonts w:ascii="Times New Roman" w:hAnsi="Times New Roman" w:cs="Times New Roman"/>
          <w:vanish/>
          <w:sz w:val="24"/>
          <w:szCs w:val="22"/>
        </w:rPr>
      </w:pPr>
    </w:p>
    <w:p w:rsidR="0034380D" w:rsidRDefault="0034380D" w:rsidP="0034380D">
      <w:pPr>
        <w:pStyle w:val="Requirement"/>
        <w:numPr>
          <w:ilvl w:val="0"/>
          <w:numId w:val="4"/>
        </w:numPr>
      </w:pPr>
      <w:r w:rsidRPr="0034380D">
        <w:rPr>
          <w:szCs w:val="22"/>
        </w:rPr>
        <w:t>The Transmission Service Provider shall post the following three items within 15 calendar days after the use of CBM for an Energy Emergency.  This posting shall be on a web site accessible by the Regional Reliability Organizations, NERC, and transmission users.</w:t>
      </w:r>
    </w:p>
    <w:p w:rsidR="0034380D" w:rsidRDefault="0034380D" w:rsidP="0034380D">
      <w:pPr>
        <w:pStyle w:val="Requirement"/>
        <w:numPr>
          <w:ilvl w:val="1"/>
          <w:numId w:val="3"/>
        </w:numPr>
      </w:pPr>
      <w:r>
        <w:rPr>
          <w:szCs w:val="22"/>
        </w:rPr>
        <w:t>Circumstances.</w:t>
      </w:r>
    </w:p>
    <w:p w:rsidR="0034380D" w:rsidRDefault="0034380D" w:rsidP="0034380D">
      <w:pPr>
        <w:pStyle w:val="Requirement"/>
        <w:numPr>
          <w:ilvl w:val="1"/>
          <w:numId w:val="3"/>
        </w:numPr>
      </w:pPr>
      <w:r>
        <w:rPr>
          <w:szCs w:val="22"/>
        </w:rPr>
        <w:t>Duration.</w:t>
      </w:r>
    </w:p>
    <w:p w:rsidR="0034380D" w:rsidRDefault="0034380D" w:rsidP="0034380D">
      <w:pPr>
        <w:pStyle w:val="Requirement"/>
        <w:numPr>
          <w:ilvl w:val="1"/>
          <w:numId w:val="3"/>
        </w:numPr>
      </w:pPr>
      <w:r>
        <w:rPr>
          <w:szCs w:val="22"/>
        </w:rPr>
        <w:t>Amount of CBM used.</w:t>
      </w:r>
    </w:p>
    <w:p w:rsidR="00C46F97" w:rsidRDefault="00C46F97" w:rsidP="00281790">
      <w:pPr>
        <w:widowControl w:val="0"/>
        <w:spacing w:line="294" w:lineRule="exact"/>
        <w:rPr>
          <w:rFonts w:ascii="Times New Roman" w:hAnsi="Times New Roman" w:cs="Times New Roman"/>
          <w:b/>
          <w:bCs/>
          <w:color w:val="003366"/>
          <w:sz w:val="24"/>
          <w:szCs w:val="24"/>
        </w:rPr>
      </w:pPr>
    </w:p>
    <w:p w:rsidR="00657AC2" w:rsidRDefault="00C46F97" w:rsidP="00C46F9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733CDB" w:rsidRPr="0063701C" w:rsidRDefault="00733CDB" w:rsidP="0063701C">
      <w:pPr>
        <w:pStyle w:val="Heading1"/>
      </w:pPr>
      <w:r w:rsidRPr="0063701C">
        <w:t>R2 Supporting Evidence and Documentation</w:t>
      </w:r>
    </w:p>
    <w:p w:rsidR="00733CDB" w:rsidRDefault="00733CDB" w:rsidP="00733CDB">
      <w:pPr>
        <w:widowControl w:val="0"/>
        <w:spacing w:line="266" w:lineRule="exact"/>
        <w:rPr>
          <w:rFonts w:ascii="Times New Roman" w:hAnsi="Times New Roman" w:cs="Times New Roman"/>
          <w:b/>
          <w:bCs/>
          <w:color w:val="FF0000"/>
          <w:sz w:val="24"/>
          <w:szCs w:val="24"/>
        </w:rPr>
      </w:pPr>
    </w:p>
    <w:p w:rsidR="00733CDB" w:rsidRDefault="00733CDB" w:rsidP="00733CD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33CDB" w:rsidRDefault="00733CDB" w:rsidP="00733CD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33CDB" w:rsidTr="00733CDB">
        <w:trPr>
          <w:gridAfter w:val="1"/>
          <w:wAfter w:w="1224" w:type="dxa"/>
          <w:trHeight w:val="945"/>
        </w:trPr>
        <w:tc>
          <w:tcPr>
            <w:tcW w:w="1098" w:type="dxa"/>
            <w:tcBorders>
              <w:top w:val="nil"/>
              <w:left w:val="nil"/>
              <w:bottom w:val="nil"/>
              <w:right w:val="nil"/>
            </w:tcBorders>
          </w:tcPr>
          <w:p w:rsidR="00733CDB" w:rsidRDefault="00733CD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33CDB" w:rsidRDefault="00733CD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33CDB" w:rsidRDefault="00733CD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33CDB" w:rsidTr="00733CDB">
        <w:tc>
          <w:tcPr>
            <w:tcW w:w="7848" w:type="dxa"/>
            <w:gridSpan w:val="2"/>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33CDB" w:rsidRDefault="00733CD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hideMark/>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r w:rsidR="00733CDB" w:rsidTr="00733CDB">
        <w:tc>
          <w:tcPr>
            <w:tcW w:w="7848" w:type="dxa"/>
            <w:gridSpan w:val="2"/>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33CDB" w:rsidRDefault="00733CDB">
            <w:pPr>
              <w:widowControl w:val="0"/>
              <w:tabs>
                <w:tab w:val="left" w:pos="900"/>
                <w:tab w:val="left" w:pos="6360"/>
              </w:tabs>
              <w:spacing w:line="294" w:lineRule="exact"/>
              <w:rPr>
                <w:rFonts w:ascii="Times New Roman" w:hAnsi="Times New Roman" w:cs="Times New Roman"/>
                <w:b/>
                <w:bCs/>
                <w:sz w:val="24"/>
                <w:szCs w:val="24"/>
              </w:rPr>
            </w:pPr>
          </w:p>
        </w:tc>
      </w:tr>
    </w:tbl>
    <w:p w:rsidR="00733CDB" w:rsidRDefault="00733CDB"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DE26C2" w:rsidRPr="009C039C" w:rsidRDefault="00DE26C2" w:rsidP="00DE26C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MOD-007-0 R2</w:t>
      </w:r>
    </w:p>
    <w:p w:rsidR="00C46F97"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p>
    <w:p w:rsidR="00DE26C2" w:rsidRDefault="00DE26C2" w:rsidP="00DE26C2">
      <w:pPr>
        <w:widowControl w:val="0"/>
        <w:spacing w:line="284" w:lineRule="exact"/>
        <w:ind w:left="1170" w:hanging="450"/>
        <w:rPr>
          <w:rFonts w:ascii="Times New Roman" w:hAnsi="Times New Roman" w:cs="Times New Roman"/>
          <w:bCs/>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Verify the TSP that used CBM </w:t>
      </w:r>
      <w:r w:rsidR="00CB1BAA">
        <w:rPr>
          <w:rFonts w:ascii="Times New Roman" w:hAnsi="Times New Roman" w:cs="Times New Roman"/>
          <w:bCs/>
          <w:color w:val="365F91"/>
          <w:sz w:val="24"/>
          <w:szCs w:val="24"/>
        </w:rPr>
        <w:t>poste</w:t>
      </w:r>
      <w:r>
        <w:rPr>
          <w:rFonts w:ascii="Times New Roman" w:hAnsi="Times New Roman" w:cs="Times New Roman"/>
          <w:bCs/>
          <w:color w:val="365F91"/>
          <w:sz w:val="24"/>
          <w:szCs w:val="24"/>
        </w:rPr>
        <w:t>d the following three items with</w:t>
      </w:r>
      <w:r w:rsidR="00E20464">
        <w:rPr>
          <w:rFonts w:ascii="Times New Roman" w:hAnsi="Times New Roman" w:cs="Times New Roman"/>
          <w:bCs/>
          <w:color w:val="365F91"/>
          <w:sz w:val="24"/>
          <w:szCs w:val="24"/>
        </w:rPr>
        <w:t>in</w:t>
      </w:r>
      <w:r>
        <w:rPr>
          <w:rFonts w:ascii="Times New Roman" w:hAnsi="Times New Roman" w:cs="Times New Roman"/>
          <w:bCs/>
          <w:color w:val="365F91"/>
          <w:sz w:val="24"/>
          <w:szCs w:val="24"/>
        </w:rPr>
        <w:t xml:space="preserve"> 15 calendar days after the use of CBM for an Energy Emergency:</w:t>
      </w:r>
    </w:p>
    <w:p w:rsidR="00DE26C2" w:rsidRDefault="00DE26C2" w:rsidP="00DE26C2">
      <w:pPr>
        <w:widowControl w:val="0"/>
        <w:spacing w:line="284" w:lineRule="exact"/>
        <w:ind w:left="1170" w:hanging="450"/>
        <w:rPr>
          <w:rFonts w:ascii="Times New Roman" w:hAnsi="Times New Roman" w:cs="Times New Roman"/>
          <w:bCs/>
          <w:color w:val="365F91"/>
          <w:sz w:val="24"/>
          <w:szCs w:val="24"/>
        </w:rPr>
      </w:pPr>
    </w:p>
    <w:p w:rsidR="00DE26C2" w:rsidRDefault="00DE26C2" w:rsidP="00DE26C2">
      <w:pPr>
        <w:widowControl w:val="0"/>
        <w:tabs>
          <w:tab w:val="left" w:pos="1080"/>
        </w:tabs>
        <w:spacing w:line="284" w:lineRule="exact"/>
        <w:ind w:left="1620" w:hanging="1620"/>
        <w:rPr>
          <w:rFonts w:ascii="Times New Roman" w:hAnsi="Times New Roman" w:cs="Times New Roman"/>
          <w:bCs/>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w:t>
      </w:r>
      <w:r w:rsidR="00CB1BAA">
        <w:rPr>
          <w:rFonts w:ascii="Times New Roman" w:hAnsi="Times New Roman" w:cs="Times New Roman"/>
          <w:bCs/>
          <w:color w:val="365F91"/>
          <w:sz w:val="24"/>
          <w:szCs w:val="24"/>
        </w:rPr>
        <w:t>Circumstances</w:t>
      </w:r>
    </w:p>
    <w:p w:rsidR="00CB1BAA" w:rsidRDefault="00CB1BAA" w:rsidP="00DE26C2">
      <w:pPr>
        <w:widowControl w:val="0"/>
        <w:tabs>
          <w:tab w:val="left" w:pos="1080"/>
        </w:tabs>
        <w:spacing w:line="284" w:lineRule="exact"/>
        <w:ind w:left="1620" w:hanging="1620"/>
        <w:rPr>
          <w:rFonts w:ascii="Times New Roman" w:hAnsi="Times New Roman" w:cs="Times New Roman"/>
          <w:bCs/>
          <w:color w:val="365F91"/>
          <w:sz w:val="24"/>
          <w:szCs w:val="24"/>
        </w:rPr>
      </w:pPr>
    </w:p>
    <w:p w:rsidR="00CB1BAA" w:rsidRDefault="00CB1BAA" w:rsidP="00CB1BAA">
      <w:pPr>
        <w:widowControl w:val="0"/>
        <w:spacing w:line="284" w:lineRule="exact"/>
        <w:ind w:left="1624" w:hanging="4"/>
        <w:rPr>
          <w:rFonts w:ascii="Times New Roman" w:hAnsi="Times New Roman" w:cs="Times New Roman"/>
          <w:bCs/>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Duration</w:t>
      </w:r>
    </w:p>
    <w:p w:rsidR="00CB1BAA" w:rsidRDefault="00CB1BAA" w:rsidP="00CB1BAA">
      <w:pPr>
        <w:widowControl w:val="0"/>
        <w:spacing w:line="284" w:lineRule="exact"/>
        <w:ind w:left="1624" w:hanging="4"/>
        <w:rPr>
          <w:rFonts w:ascii="Times New Roman" w:hAnsi="Times New Roman" w:cs="Times New Roman"/>
          <w:bCs/>
          <w:color w:val="365F91"/>
          <w:sz w:val="24"/>
          <w:szCs w:val="24"/>
        </w:rPr>
      </w:pPr>
    </w:p>
    <w:p w:rsidR="00CB1BAA" w:rsidRDefault="00CB1BAA" w:rsidP="00CB1BAA">
      <w:pPr>
        <w:widowControl w:val="0"/>
        <w:spacing w:line="284" w:lineRule="exact"/>
        <w:ind w:left="1624" w:hanging="4"/>
        <w:rPr>
          <w:rFonts w:ascii="Times New Roman" w:hAnsi="Times New Roman" w:cs="Times New Roman"/>
          <w:bCs/>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Amount of CBM used</w:t>
      </w:r>
    </w:p>
    <w:p w:rsidR="00CB1BAA" w:rsidRDefault="00CB1BAA" w:rsidP="00CB1BAA">
      <w:pPr>
        <w:widowControl w:val="0"/>
        <w:spacing w:line="284" w:lineRule="exact"/>
        <w:ind w:left="1624" w:hanging="4"/>
        <w:rPr>
          <w:rFonts w:ascii="Times New Roman" w:hAnsi="Times New Roman" w:cs="Times New Roman"/>
          <w:bCs/>
          <w:color w:val="365F91"/>
          <w:sz w:val="24"/>
          <w:szCs w:val="24"/>
        </w:rPr>
      </w:pPr>
    </w:p>
    <w:p w:rsidR="00CB1BAA" w:rsidRPr="00CB1BAA" w:rsidRDefault="00CB1BAA" w:rsidP="00657AC2">
      <w:pPr>
        <w:widowControl w:val="0"/>
        <w:spacing w:line="284" w:lineRule="exact"/>
        <w:ind w:left="1170" w:hanging="450"/>
        <w:rPr>
          <w:rFonts w:ascii="Times New Roman" w:hAnsi="Times New Roman" w:cs="Times New Roman"/>
          <w:b/>
          <w:bCs/>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bCs/>
          <w:color w:val="365F91"/>
          <w:sz w:val="24"/>
          <w:szCs w:val="24"/>
        </w:rPr>
        <w:t xml:space="preserve"> Verify the information </w:t>
      </w:r>
      <w:r w:rsidR="00657AC2">
        <w:rPr>
          <w:rFonts w:ascii="Times New Roman" w:hAnsi="Times New Roman" w:cs="Times New Roman"/>
          <w:bCs/>
          <w:color w:val="365F91"/>
          <w:sz w:val="24"/>
          <w:szCs w:val="24"/>
        </w:rPr>
        <w:t xml:space="preserve">was posted on a web site </w:t>
      </w:r>
      <w:r w:rsidRPr="00DE26C2">
        <w:rPr>
          <w:rFonts w:ascii="Times New Roman" w:hAnsi="Times New Roman" w:cs="Times New Roman"/>
          <w:bCs/>
          <w:color w:val="365F91"/>
          <w:sz w:val="24"/>
          <w:szCs w:val="24"/>
        </w:rPr>
        <w:t>accessible by the R</w:t>
      </w:r>
      <w:r w:rsidR="00657AC2">
        <w:rPr>
          <w:rFonts w:ascii="Times New Roman" w:hAnsi="Times New Roman" w:cs="Times New Roman"/>
          <w:bCs/>
          <w:color w:val="365F91"/>
          <w:sz w:val="24"/>
          <w:szCs w:val="24"/>
        </w:rPr>
        <w:t>RO</w:t>
      </w:r>
      <w:r w:rsidRPr="00DE26C2">
        <w:rPr>
          <w:rFonts w:ascii="Times New Roman" w:hAnsi="Times New Roman" w:cs="Times New Roman"/>
          <w:bCs/>
          <w:color w:val="365F91"/>
          <w:sz w:val="24"/>
          <w:szCs w:val="24"/>
        </w:rPr>
        <w:t>, NERC, and transmission users.</w:t>
      </w:r>
    </w:p>
    <w:p w:rsidR="00DE26C2" w:rsidRPr="00A74C27" w:rsidRDefault="00DE26C2" w:rsidP="00DE26C2">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301E32" w:rsidRPr="00A7057B" w:rsidRDefault="00301E32" w:rsidP="00301E32">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63701C">
        <w:t>Compliance Findings Summary</w:t>
      </w:r>
      <w:r>
        <w:t xml:space="preserve"> </w:t>
      </w:r>
      <w:r w:rsidRPr="001F77C7">
        <w:rPr>
          <w:sz w:val="20"/>
          <w:szCs w:val="20"/>
        </w:rPr>
        <w:t>(to be filled out by auditor)</w:t>
      </w:r>
    </w:p>
    <w:p w:rsidR="00D745B1" w:rsidRPr="00D745B1" w:rsidRDefault="00D745B1" w:rsidP="00D745B1"/>
    <w:tbl>
      <w:tblPr>
        <w:tblW w:w="0" w:type="auto"/>
        <w:tblLook w:val="00A0" w:firstRow="1" w:lastRow="0" w:firstColumn="1" w:lastColumn="0" w:noHBand="0" w:noVBand="0"/>
      </w:tblPr>
      <w:tblGrid>
        <w:gridCol w:w="692"/>
        <w:gridCol w:w="458"/>
        <w:gridCol w:w="572"/>
        <w:gridCol w:w="737"/>
        <w:gridCol w:w="563"/>
        <w:gridCol w:w="7994"/>
      </w:tblGrid>
      <w:tr w:rsidR="00733CDB" w:rsidRPr="008374A0" w:rsidTr="00733CDB">
        <w:tc>
          <w:tcPr>
            <w:tcW w:w="692" w:type="dxa"/>
            <w:tcBorders>
              <w:top w:val="single" w:sz="4" w:space="0" w:color="548DD4"/>
              <w:bottom w:val="single" w:sz="4" w:space="0" w:color="548DD4"/>
            </w:tcBorders>
          </w:tcPr>
          <w:p w:rsidR="00733CDB"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733CDB"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733CDB"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33CDB" w:rsidRPr="008374A0" w:rsidTr="00733CD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733CDB" w:rsidRPr="008374A0" w:rsidTr="00733CDB">
        <w:tc>
          <w:tcPr>
            <w:tcW w:w="692"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33CDB" w:rsidRPr="008374A0" w:rsidRDefault="00733CDB"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CB1BAA"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6F2D87">
        <w:rPr>
          <w:rFonts w:ascii="Times New Roman" w:hAnsi="Times New Roman" w:cs="Times New Roman"/>
          <w:b/>
          <w:sz w:val="24"/>
          <w:szCs w:val="24"/>
        </w:rPr>
        <w:t xml:space="preserve">August </w:t>
      </w:r>
      <w:r w:rsidR="00B0176B">
        <w:rPr>
          <w:rFonts w:ascii="Times New Roman" w:hAnsi="Times New Roman" w:cs="Times New Roman"/>
          <w:b/>
          <w:sz w:val="24"/>
          <w:szCs w:val="24"/>
        </w:rPr>
        <w:t>2010</w:t>
      </w:r>
    </w:p>
    <w:p w:rsidR="004F76E4" w:rsidRDefault="0034380D"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MOD-007-0</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B0176B" w:rsidRDefault="00B0176B" w:rsidP="004F76E4">
      <w:pPr>
        <w:rPr>
          <w:rFonts w:ascii="Times New Roman" w:hAnsi="Times New Roman" w:cs="Times New Roman"/>
          <w:b/>
          <w:sz w:val="24"/>
          <w:szCs w:val="24"/>
        </w:rPr>
      </w:pPr>
    </w:p>
    <w:p w:rsidR="00B0176B" w:rsidRPr="00B0176B" w:rsidRDefault="00B0176B" w:rsidP="00B0176B">
      <w:pPr>
        <w:rPr>
          <w:rFonts w:ascii="Times New Roman" w:hAnsi="Times New Roman" w:cs="Times New Roman"/>
          <w:sz w:val="24"/>
          <w:szCs w:val="24"/>
        </w:rPr>
      </w:pPr>
      <w:r w:rsidRPr="00B0176B">
        <w:rPr>
          <w:rFonts w:ascii="Times New Roman" w:hAnsi="Times New Roman" w:cs="Times New Roman"/>
          <w:sz w:val="24"/>
          <w:szCs w:val="24"/>
        </w:rPr>
        <w:t>1104. With regard to TAPS’s comments concerning its assumption that the Commission would not be approving the Version 0 standards on these issues, but would continue to address them in the OATT Reform proceeding, the Commission finds that MOD-006-0 and MOD-007-0 do not establish CBM values, but rather address CBM implementation and documentation. The implementation of CBM has critical implications for the reliable operation of the Bulk-Power System and we find that these Reliability Standards should be mandatory and enforceable. The competitively significant issue is to assure that there is no double-counting of CBM and to determine the magnitude of CBM which is addressed in other Reliability Standards that the Commission has not approved or remanded.</w:t>
      </w:r>
    </w:p>
    <w:p w:rsidR="00B0176B" w:rsidRPr="00B0176B" w:rsidRDefault="00B0176B" w:rsidP="00B0176B">
      <w:pPr>
        <w:rPr>
          <w:rFonts w:ascii="Times New Roman" w:hAnsi="Times New Roman" w:cs="Times New Roman"/>
          <w:sz w:val="24"/>
          <w:szCs w:val="24"/>
        </w:rPr>
      </w:pPr>
    </w:p>
    <w:p w:rsidR="00B0176B" w:rsidRPr="00B0176B" w:rsidRDefault="00B0176B" w:rsidP="00B0176B">
      <w:pPr>
        <w:rPr>
          <w:rFonts w:ascii="Times New Roman" w:hAnsi="Times New Roman" w:cs="Times New Roman"/>
          <w:sz w:val="24"/>
          <w:szCs w:val="24"/>
        </w:rPr>
      </w:pPr>
      <w:r w:rsidRPr="00B0176B">
        <w:rPr>
          <w:rFonts w:ascii="Times New Roman" w:hAnsi="Times New Roman" w:cs="Times New Roman"/>
          <w:sz w:val="24"/>
          <w:szCs w:val="24"/>
        </w:rPr>
        <w:t>1109. The Commission approves MOD-007-0 as mandatory and enforceable. Consistent with the comments received in response to the NOPR, the Commission directs the ERO to modify the standard as discussed below.</w:t>
      </w:r>
    </w:p>
    <w:p w:rsidR="00B0176B" w:rsidRPr="00B0176B" w:rsidRDefault="00B0176B" w:rsidP="00B0176B">
      <w:pPr>
        <w:rPr>
          <w:rFonts w:ascii="Times New Roman" w:hAnsi="Times New Roman" w:cs="Times New Roman"/>
          <w:sz w:val="24"/>
          <w:szCs w:val="24"/>
        </w:rPr>
      </w:pPr>
    </w:p>
    <w:p w:rsidR="00B0176B" w:rsidRPr="00B0176B" w:rsidRDefault="00B0176B" w:rsidP="00B0176B">
      <w:pPr>
        <w:rPr>
          <w:rFonts w:ascii="Times New Roman" w:hAnsi="Times New Roman" w:cs="Times New Roman"/>
          <w:sz w:val="24"/>
          <w:szCs w:val="24"/>
        </w:rPr>
      </w:pPr>
      <w:r w:rsidRPr="00B0176B">
        <w:rPr>
          <w:rFonts w:ascii="Times New Roman" w:hAnsi="Times New Roman" w:cs="Times New Roman"/>
          <w:sz w:val="24"/>
          <w:szCs w:val="24"/>
        </w:rPr>
        <w:t>1110. We also adopt the NOPR’s proposal to require the applicability section to include the entities that actually use CBM and report on their CBM use, such as LSEs. The current CBM definition in the NERC glossary determines when a LSE is a CBM user. The LSE determines how much CBM will be set aside, when CBM use will start and when it will end. The LSE must therefore comply with the standard requirements that require reporting and posting of CBM use. We direct the ERO to modify the standard to include the entities that actually use CBM, such as LSEs. In addition, we agree with APPA that the Reliability Standard should apply to balancing authorities and direct the ERO to include balancing authorities within the entities to which this standard is applicable.</w:t>
      </w:r>
    </w:p>
    <w:p w:rsidR="00B0176B" w:rsidRPr="00B0176B" w:rsidRDefault="00B0176B" w:rsidP="00B0176B">
      <w:pPr>
        <w:rPr>
          <w:rFonts w:ascii="Times New Roman" w:hAnsi="Times New Roman" w:cs="Times New Roman"/>
          <w:sz w:val="24"/>
          <w:szCs w:val="24"/>
        </w:rPr>
      </w:pPr>
    </w:p>
    <w:p w:rsidR="00B0176B" w:rsidRDefault="00B0176B" w:rsidP="00B0176B">
      <w:pPr>
        <w:rPr>
          <w:rFonts w:ascii="Times New Roman" w:hAnsi="Times New Roman" w:cs="Times New Roman"/>
          <w:sz w:val="24"/>
          <w:szCs w:val="24"/>
        </w:rPr>
      </w:pPr>
      <w:r w:rsidRPr="00B0176B">
        <w:rPr>
          <w:rFonts w:ascii="Times New Roman" w:hAnsi="Times New Roman" w:cs="Times New Roman"/>
          <w:sz w:val="24"/>
          <w:szCs w:val="24"/>
        </w:rPr>
        <w:t>1111. Accordingly, the Commission approves MOD-007-0 as mandatory and enforceable. In addition, the Commission directs the ERO to develop a modification through its Reliability Standards development process that expands the applicability of MOD-007-0 to include the entities that actually use CBM, such as LSEs and balancing authorities.</w:t>
      </w:r>
    </w:p>
    <w:p w:rsidR="00B0176B" w:rsidRDefault="00B0176B" w:rsidP="00B0176B">
      <w:pPr>
        <w:rPr>
          <w:rFonts w:ascii="Times New Roman" w:hAnsi="Times New Roman" w:cs="Times New Roman"/>
          <w:sz w:val="24"/>
          <w:szCs w:val="24"/>
        </w:rPr>
      </w:pPr>
    </w:p>
    <w:p w:rsidR="00B0176B" w:rsidRPr="00B0176B" w:rsidRDefault="00B0176B" w:rsidP="00B0176B">
      <w:pPr>
        <w:rPr>
          <w:rFonts w:ascii="Times New Roman" w:hAnsi="Times New Roman" w:cs="Times New Roman"/>
          <w:b/>
          <w:sz w:val="24"/>
          <w:szCs w:val="24"/>
        </w:rPr>
      </w:pPr>
      <w:r w:rsidRPr="00B0176B">
        <w:rPr>
          <w:rFonts w:ascii="Times New Roman" w:hAnsi="Times New Roman" w:cs="Times New Roman"/>
          <w:b/>
          <w:sz w:val="24"/>
          <w:szCs w:val="24"/>
        </w:rPr>
        <w:t>Order 729- Order on ATC</w:t>
      </w:r>
    </w:p>
    <w:p w:rsidR="00B0176B" w:rsidRPr="00B0176B" w:rsidRDefault="00B0176B" w:rsidP="00B0176B">
      <w:pPr>
        <w:rPr>
          <w:rFonts w:ascii="Times New Roman" w:hAnsi="Times New Roman" w:cs="Times New Roman"/>
          <w:b/>
          <w:sz w:val="24"/>
          <w:szCs w:val="24"/>
        </w:rPr>
      </w:pPr>
      <w:r w:rsidRPr="00B0176B">
        <w:rPr>
          <w:rFonts w:ascii="Times New Roman" w:hAnsi="Times New Roman" w:cs="Times New Roman"/>
          <w:b/>
          <w:sz w:val="24"/>
          <w:szCs w:val="24"/>
        </w:rPr>
        <w:t>November 24, 2009</w:t>
      </w:r>
    </w:p>
    <w:p w:rsidR="00B0176B" w:rsidRPr="00B0176B" w:rsidRDefault="00B0176B" w:rsidP="00B0176B">
      <w:pPr>
        <w:rPr>
          <w:rFonts w:ascii="Times New Roman" w:hAnsi="Times New Roman" w:cs="Times New Roman"/>
          <w:sz w:val="24"/>
          <w:szCs w:val="24"/>
        </w:rPr>
      </w:pPr>
    </w:p>
    <w:p w:rsidR="00B0176B" w:rsidRDefault="00B0176B" w:rsidP="00B0176B">
      <w:pPr>
        <w:rPr>
          <w:rFonts w:ascii="Times New Roman" w:hAnsi="Times New Roman" w:cs="Times New Roman"/>
          <w:sz w:val="24"/>
          <w:szCs w:val="24"/>
        </w:rPr>
      </w:pPr>
      <w:r w:rsidRPr="00B0176B">
        <w:rPr>
          <w:rFonts w:ascii="Times New Roman" w:hAnsi="Times New Roman" w:cs="Times New Roman"/>
          <w:sz w:val="24"/>
          <w:szCs w:val="24"/>
        </w:rPr>
        <w:t>288. The Commission hereby adopts the NOPR proposal and approves NERC’s request to retire MOD-006-0 and MOD-007-0 and to withdraw its request for approval of MOD-001-0, MOD-002-0, MOD-003-0, MOD-004-0, MOD-005-0, MOD-008-0, and MOD-009-0. The Commission also finds that MOD-001-0, MOD-002-0, MOD-003-0, MOD-004-0, MOD-005-0, MOD-008-0, and MOD-009-0 are all superseded by the available transfer capability calculations required by the proposed MOD Reliability Standards in this proceeding are, upon the effectiveness of the proposed MOD Reliability Standards, no longer necessary.</w:t>
      </w:r>
    </w:p>
    <w:p w:rsidR="00B0176B" w:rsidRDefault="00B0176B" w:rsidP="00B0176B">
      <w:pPr>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890"/>
        <w:gridCol w:w="6228"/>
      </w:tblGrid>
      <w:tr w:rsidR="004F76E4" w:rsidRPr="00B2607F" w:rsidTr="0063701C">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63701C">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CB1BAA"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1890" w:type="dxa"/>
          </w:tcPr>
          <w:p w:rsidR="004F76E4" w:rsidRPr="00B2607F" w:rsidRDefault="00CB1BAA" w:rsidP="000A5C28">
            <w:pPr>
              <w:rPr>
                <w:rFonts w:ascii="Times New Roman" w:hAnsi="Times New Roman" w:cs="Times New Roman"/>
                <w:sz w:val="24"/>
                <w:szCs w:val="24"/>
              </w:rPr>
            </w:pPr>
            <w:r>
              <w:rPr>
                <w:rFonts w:ascii="Times New Roman" w:hAnsi="Times New Roman" w:cs="Times New Roman"/>
                <w:sz w:val="24"/>
                <w:szCs w:val="24"/>
              </w:rPr>
              <w:t>RSAW Work Group</w:t>
            </w:r>
          </w:p>
        </w:tc>
        <w:tc>
          <w:tcPr>
            <w:tcW w:w="6228" w:type="dxa"/>
          </w:tcPr>
          <w:p w:rsidR="004F76E4" w:rsidRPr="00B2607F" w:rsidRDefault="00E20464" w:rsidP="000A5C28">
            <w:pPr>
              <w:rPr>
                <w:rFonts w:ascii="Times New Roman" w:hAnsi="Times New Roman" w:cs="Times New Roman"/>
                <w:sz w:val="24"/>
                <w:szCs w:val="24"/>
              </w:rPr>
            </w:pPr>
            <w:r>
              <w:rPr>
                <w:rFonts w:ascii="Times New Roman" w:hAnsi="Times New Roman" w:cs="Times New Roman"/>
                <w:sz w:val="24"/>
                <w:szCs w:val="24"/>
              </w:rPr>
              <w:t>New Document</w:t>
            </w:r>
            <w:r w:rsidR="0063701C">
              <w:rPr>
                <w:rFonts w:ascii="Times New Roman" w:hAnsi="Times New Roman" w:cs="Times New Roman"/>
                <w:sz w:val="24"/>
                <w:szCs w:val="24"/>
              </w:rPr>
              <w:t>.</w:t>
            </w:r>
          </w:p>
        </w:tc>
      </w:tr>
      <w:tr w:rsidR="004F76E4" w:rsidRPr="00B2607F" w:rsidTr="0063701C">
        <w:tc>
          <w:tcPr>
            <w:tcW w:w="1016" w:type="dxa"/>
          </w:tcPr>
          <w:p w:rsidR="004F76E4" w:rsidRPr="00B2607F" w:rsidRDefault="00B12DF8"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B12DF8" w:rsidP="000A5C28">
            <w:pPr>
              <w:rPr>
                <w:rFonts w:ascii="Times New Roman" w:hAnsi="Times New Roman" w:cs="Times New Roman"/>
                <w:sz w:val="24"/>
                <w:szCs w:val="24"/>
              </w:rPr>
            </w:pPr>
            <w:r>
              <w:rPr>
                <w:rFonts w:ascii="Times New Roman" w:hAnsi="Times New Roman" w:cs="Times New Roman"/>
                <w:sz w:val="24"/>
                <w:szCs w:val="24"/>
              </w:rPr>
              <w:t>September 2010</w:t>
            </w:r>
          </w:p>
        </w:tc>
        <w:tc>
          <w:tcPr>
            <w:tcW w:w="1890" w:type="dxa"/>
          </w:tcPr>
          <w:p w:rsidR="004F76E4" w:rsidRPr="00B2607F" w:rsidRDefault="00B12DF8" w:rsidP="000A5C2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228" w:type="dxa"/>
          </w:tcPr>
          <w:p w:rsidR="004F76E4" w:rsidRPr="00B2607F" w:rsidRDefault="00B12DF8" w:rsidP="000A5C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63701C">
        <w:tc>
          <w:tcPr>
            <w:tcW w:w="1016" w:type="dxa"/>
          </w:tcPr>
          <w:p w:rsidR="004F76E4" w:rsidRPr="00B2607F" w:rsidRDefault="00733CDB"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733CDB" w:rsidP="0063701C">
            <w:pPr>
              <w:rPr>
                <w:rFonts w:ascii="Times New Roman" w:hAnsi="Times New Roman" w:cs="Times New Roman"/>
                <w:sz w:val="24"/>
                <w:szCs w:val="24"/>
              </w:rPr>
            </w:pPr>
            <w:r>
              <w:rPr>
                <w:rFonts w:ascii="Times New Roman" w:hAnsi="Times New Roman" w:cs="Times New Roman"/>
                <w:sz w:val="24"/>
                <w:szCs w:val="24"/>
              </w:rPr>
              <w:t>Dec</w:t>
            </w:r>
            <w:r w:rsidR="0063701C">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1890" w:type="dxa"/>
          </w:tcPr>
          <w:p w:rsidR="004F76E4" w:rsidRPr="00B2607F" w:rsidRDefault="00733CDB" w:rsidP="000A5C28">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4F76E4" w:rsidRPr="00B2607F" w:rsidRDefault="00733CDB" w:rsidP="000A5C2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63701C">
              <w:rPr>
                <w:rFonts w:ascii="Times New Roman" w:hAnsi="Times New Roman" w:cs="Times New Roman"/>
                <w:sz w:val="24"/>
                <w:szCs w:val="24"/>
              </w:rPr>
              <w:t>.</w:t>
            </w:r>
          </w:p>
        </w:tc>
      </w:tr>
      <w:tr w:rsidR="0063701C" w:rsidTr="0063701C">
        <w:tc>
          <w:tcPr>
            <w:tcW w:w="1016" w:type="dxa"/>
            <w:tcBorders>
              <w:top w:val="single" w:sz="4" w:space="0" w:color="000000"/>
              <w:left w:val="single" w:sz="4" w:space="0" w:color="000000"/>
              <w:bottom w:val="single" w:sz="4" w:space="0" w:color="000000"/>
              <w:right w:val="single" w:sz="4" w:space="0" w:color="000000"/>
            </w:tcBorders>
          </w:tcPr>
          <w:p w:rsidR="0063701C" w:rsidRDefault="0063701C" w:rsidP="00E84FF7">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63701C" w:rsidRDefault="0063701C" w:rsidP="00E84FF7">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rsidR="0063701C" w:rsidRDefault="0063701C" w:rsidP="00E84FF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63701C" w:rsidRDefault="0063701C" w:rsidP="00E84FF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4F76E4" w:rsidRPr="00B2607F" w:rsidTr="0063701C">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1890" w:type="dxa"/>
          </w:tcPr>
          <w:p w:rsidR="004F76E4" w:rsidRPr="00B2607F" w:rsidRDefault="004F76E4" w:rsidP="000A5C28">
            <w:pPr>
              <w:rPr>
                <w:rFonts w:ascii="Times New Roman" w:hAnsi="Times New Roman" w:cs="Times New Roman"/>
                <w:sz w:val="24"/>
                <w:szCs w:val="24"/>
              </w:rPr>
            </w:pPr>
          </w:p>
        </w:tc>
        <w:tc>
          <w:tcPr>
            <w:tcW w:w="6228" w:type="dxa"/>
          </w:tcPr>
          <w:p w:rsidR="004F76E4" w:rsidRPr="00B2607F" w:rsidRDefault="004F76E4" w:rsidP="000A5C28">
            <w:pPr>
              <w:rPr>
                <w:rFonts w:ascii="Times New Roman" w:hAnsi="Times New Roman" w:cs="Times New Roman"/>
                <w:sz w:val="24"/>
                <w:szCs w:val="24"/>
              </w:rPr>
            </w:pPr>
          </w:p>
        </w:tc>
      </w:tr>
      <w:tr w:rsidR="004F76E4" w:rsidRPr="00B2607F" w:rsidTr="0063701C">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1890" w:type="dxa"/>
          </w:tcPr>
          <w:p w:rsidR="004F76E4" w:rsidRPr="00B2607F" w:rsidRDefault="004F76E4" w:rsidP="000A5C28">
            <w:pPr>
              <w:rPr>
                <w:rFonts w:ascii="Times New Roman" w:hAnsi="Times New Roman" w:cs="Times New Roman"/>
                <w:sz w:val="24"/>
                <w:szCs w:val="24"/>
              </w:rPr>
            </w:pPr>
          </w:p>
        </w:tc>
        <w:tc>
          <w:tcPr>
            <w:tcW w:w="6228" w:type="dxa"/>
          </w:tcPr>
          <w:p w:rsidR="004F76E4" w:rsidRPr="00B2607F" w:rsidRDefault="004F76E4" w:rsidP="000A5C28">
            <w:pPr>
              <w:rPr>
                <w:rFonts w:ascii="Times New Roman" w:hAnsi="Times New Roman" w:cs="Times New Roman"/>
                <w:sz w:val="24"/>
                <w:szCs w:val="24"/>
              </w:rPr>
            </w:pPr>
          </w:p>
        </w:tc>
      </w:tr>
      <w:tr w:rsidR="004F76E4" w:rsidRPr="00B2607F" w:rsidTr="0063701C">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1890" w:type="dxa"/>
          </w:tcPr>
          <w:p w:rsidR="004F76E4" w:rsidRPr="00B2607F" w:rsidRDefault="004F76E4" w:rsidP="000A5C28">
            <w:pPr>
              <w:rPr>
                <w:rFonts w:ascii="Times New Roman" w:hAnsi="Times New Roman" w:cs="Times New Roman"/>
                <w:sz w:val="24"/>
                <w:szCs w:val="24"/>
              </w:rPr>
            </w:pPr>
          </w:p>
        </w:tc>
        <w:tc>
          <w:tcPr>
            <w:tcW w:w="6228"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3D5" w:rsidRDefault="00FA53D5">
      <w:r>
        <w:separator/>
      </w:r>
    </w:p>
  </w:endnote>
  <w:endnote w:type="continuationSeparator" w:id="0">
    <w:p w:rsidR="00FA53D5" w:rsidRDefault="00FA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9BA" w:rsidRDefault="00D309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76B" w:rsidRPr="00323003" w:rsidRDefault="00B0176B"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B0176B" w:rsidRPr="00323003" w:rsidRDefault="00B0176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B0176B" w:rsidRPr="00323003" w:rsidRDefault="00B0176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B0176B" w:rsidRPr="00323003" w:rsidRDefault="00B0176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B0176B" w:rsidRDefault="00B0176B"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B0176B" w:rsidRPr="00872AF8" w:rsidRDefault="00B0176B"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MOD-007-0</w:t>
    </w:r>
    <w:r w:rsidRPr="00872AF8">
      <w:rPr>
        <w:rFonts w:ascii="Times New Roman" w:hAnsi="Times New Roman"/>
        <w:sz w:val="18"/>
        <w:szCs w:val="18"/>
      </w:rPr>
      <w:t>_</w:t>
    </w:r>
    <w:r w:rsidR="009C433E">
      <w:rPr>
        <w:rFonts w:ascii="Times New Roman" w:hAnsi="Times New Roman"/>
        <w:sz w:val="18"/>
        <w:szCs w:val="18"/>
      </w:rPr>
      <w:t>2011</w:t>
    </w:r>
    <w:r w:rsidRPr="00872AF8">
      <w:rPr>
        <w:rFonts w:ascii="Times New Roman" w:hAnsi="Times New Roman"/>
        <w:sz w:val="18"/>
        <w:szCs w:val="18"/>
      </w:rPr>
      <w:t>_v1</w:t>
    </w:r>
  </w:p>
  <w:p w:rsidR="00B0176B" w:rsidRPr="00872AF8" w:rsidRDefault="00B0176B"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9C433E">
      <w:rPr>
        <w:rFonts w:ascii="Times New Roman" w:hAnsi="Times New Roman" w:cs="Times New Roman"/>
        <w:color w:val="000000"/>
        <w:sz w:val="18"/>
        <w:szCs w:val="18"/>
      </w:rPr>
      <w:t>January 2011</w:t>
    </w:r>
  </w:p>
  <w:p w:rsidR="00B0176B" w:rsidRPr="00323003" w:rsidRDefault="00B0176B"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742751">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9BA" w:rsidRDefault="00D309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3D5" w:rsidRDefault="00FA53D5">
      <w:r>
        <w:separator/>
      </w:r>
    </w:p>
  </w:footnote>
  <w:footnote w:type="continuationSeparator" w:id="0">
    <w:p w:rsidR="00FA53D5" w:rsidRDefault="00FA5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9BA" w:rsidRDefault="00D309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76B" w:rsidRDefault="00B0176B">
    <w:pPr>
      <w:widowControl w:val="0"/>
      <w:spacing w:line="240" w:lineRule="exact"/>
      <w:rPr>
        <w:rFonts w:cs="Times New Roman"/>
      </w:rPr>
    </w:pPr>
  </w:p>
  <w:p w:rsidR="00B0176B" w:rsidRPr="006813F3" w:rsidRDefault="00B0176B" w:rsidP="00D745B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B0176B" w:rsidRPr="006813F3" w:rsidRDefault="00D309BA" w:rsidP="00D745B1">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B0176B" w:rsidRDefault="00650E8C">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B0176B" w:rsidRDefault="00B0176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9BA" w:rsidRDefault="00D309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39CCCACA"/>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57A68"/>
    <w:rsid w:val="000A4478"/>
    <w:rsid w:val="000A5C28"/>
    <w:rsid w:val="000B4B1F"/>
    <w:rsid w:val="000E2855"/>
    <w:rsid w:val="000F0A1C"/>
    <w:rsid w:val="000F4AF6"/>
    <w:rsid w:val="000F4D35"/>
    <w:rsid w:val="000F5E13"/>
    <w:rsid w:val="00100FD6"/>
    <w:rsid w:val="00116F8E"/>
    <w:rsid w:val="001308E2"/>
    <w:rsid w:val="00192C6D"/>
    <w:rsid w:val="001A60CC"/>
    <w:rsid w:val="001D467F"/>
    <w:rsid w:val="00207A7A"/>
    <w:rsid w:val="002478D9"/>
    <w:rsid w:val="00260B45"/>
    <w:rsid w:val="00281790"/>
    <w:rsid w:val="002C6986"/>
    <w:rsid w:val="00301E32"/>
    <w:rsid w:val="00323003"/>
    <w:rsid w:val="00335A3D"/>
    <w:rsid w:val="0034380D"/>
    <w:rsid w:val="0035604C"/>
    <w:rsid w:val="00357F68"/>
    <w:rsid w:val="0036144D"/>
    <w:rsid w:val="00394E29"/>
    <w:rsid w:val="00396135"/>
    <w:rsid w:val="003B631E"/>
    <w:rsid w:val="003E0982"/>
    <w:rsid w:val="003E5FE5"/>
    <w:rsid w:val="003E7EDF"/>
    <w:rsid w:val="003F23D5"/>
    <w:rsid w:val="0040362C"/>
    <w:rsid w:val="00404D27"/>
    <w:rsid w:val="00426E53"/>
    <w:rsid w:val="00443293"/>
    <w:rsid w:val="004550E5"/>
    <w:rsid w:val="00464DE7"/>
    <w:rsid w:val="00473790"/>
    <w:rsid w:val="004913A9"/>
    <w:rsid w:val="004A25CF"/>
    <w:rsid w:val="004D738D"/>
    <w:rsid w:val="004E0362"/>
    <w:rsid w:val="004F76E4"/>
    <w:rsid w:val="005136A0"/>
    <w:rsid w:val="0055246A"/>
    <w:rsid w:val="00565AEF"/>
    <w:rsid w:val="0059110B"/>
    <w:rsid w:val="005916FC"/>
    <w:rsid w:val="005934DC"/>
    <w:rsid w:val="005A7031"/>
    <w:rsid w:val="005D1D5C"/>
    <w:rsid w:val="005D58A1"/>
    <w:rsid w:val="00607435"/>
    <w:rsid w:val="00613FA3"/>
    <w:rsid w:val="0063701C"/>
    <w:rsid w:val="00647DE9"/>
    <w:rsid w:val="00650E8C"/>
    <w:rsid w:val="00656ADB"/>
    <w:rsid w:val="00657AC2"/>
    <w:rsid w:val="00675E27"/>
    <w:rsid w:val="00684DDA"/>
    <w:rsid w:val="006E1CC0"/>
    <w:rsid w:val="006F2D87"/>
    <w:rsid w:val="0071094E"/>
    <w:rsid w:val="00733CDB"/>
    <w:rsid w:val="00742751"/>
    <w:rsid w:val="00756289"/>
    <w:rsid w:val="0079531D"/>
    <w:rsid w:val="007A0E0C"/>
    <w:rsid w:val="007B45C5"/>
    <w:rsid w:val="007C44D6"/>
    <w:rsid w:val="007C659D"/>
    <w:rsid w:val="0081637F"/>
    <w:rsid w:val="00832FF7"/>
    <w:rsid w:val="0084165E"/>
    <w:rsid w:val="008539DC"/>
    <w:rsid w:val="00853A30"/>
    <w:rsid w:val="00861282"/>
    <w:rsid w:val="00894768"/>
    <w:rsid w:val="00894CCA"/>
    <w:rsid w:val="008C5E4C"/>
    <w:rsid w:val="008F2767"/>
    <w:rsid w:val="009155AC"/>
    <w:rsid w:val="00917067"/>
    <w:rsid w:val="00927FDE"/>
    <w:rsid w:val="00937B5C"/>
    <w:rsid w:val="00952818"/>
    <w:rsid w:val="009A1984"/>
    <w:rsid w:val="009C039C"/>
    <w:rsid w:val="009C4318"/>
    <w:rsid w:val="009C433E"/>
    <w:rsid w:val="009C4340"/>
    <w:rsid w:val="009D3D62"/>
    <w:rsid w:val="009E079E"/>
    <w:rsid w:val="00A10643"/>
    <w:rsid w:val="00A40A99"/>
    <w:rsid w:val="00A74C27"/>
    <w:rsid w:val="00A86374"/>
    <w:rsid w:val="00AD5422"/>
    <w:rsid w:val="00AF4117"/>
    <w:rsid w:val="00AF7678"/>
    <w:rsid w:val="00B0176B"/>
    <w:rsid w:val="00B06DE8"/>
    <w:rsid w:val="00B12DF8"/>
    <w:rsid w:val="00B258AF"/>
    <w:rsid w:val="00B435EE"/>
    <w:rsid w:val="00B44AC5"/>
    <w:rsid w:val="00B524AC"/>
    <w:rsid w:val="00B608A3"/>
    <w:rsid w:val="00BB611C"/>
    <w:rsid w:val="00BD2E0F"/>
    <w:rsid w:val="00BE1264"/>
    <w:rsid w:val="00BE2A33"/>
    <w:rsid w:val="00BF207D"/>
    <w:rsid w:val="00BF3B49"/>
    <w:rsid w:val="00C060E7"/>
    <w:rsid w:val="00C11EDD"/>
    <w:rsid w:val="00C23A94"/>
    <w:rsid w:val="00C46F97"/>
    <w:rsid w:val="00C568DC"/>
    <w:rsid w:val="00C60706"/>
    <w:rsid w:val="00CB1BAA"/>
    <w:rsid w:val="00CC452E"/>
    <w:rsid w:val="00CD08F5"/>
    <w:rsid w:val="00CF3DA4"/>
    <w:rsid w:val="00CF5895"/>
    <w:rsid w:val="00D309BA"/>
    <w:rsid w:val="00D33732"/>
    <w:rsid w:val="00D45934"/>
    <w:rsid w:val="00D54754"/>
    <w:rsid w:val="00D5513A"/>
    <w:rsid w:val="00D745B1"/>
    <w:rsid w:val="00D830A2"/>
    <w:rsid w:val="00DA44A1"/>
    <w:rsid w:val="00DB1295"/>
    <w:rsid w:val="00DE26C2"/>
    <w:rsid w:val="00DE3654"/>
    <w:rsid w:val="00E0105E"/>
    <w:rsid w:val="00E20464"/>
    <w:rsid w:val="00E44ACC"/>
    <w:rsid w:val="00E57E67"/>
    <w:rsid w:val="00E679D3"/>
    <w:rsid w:val="00E8453A"/>
    <w:rsid w:val="00E84FF7"/>
    <w:rsid w:val="00E93387"/>
    <w:rsid w:val="00EB2DD5"/>
    <w:rsid w:val="00EC1F61"/>
    <w:rsid w:val="00ED0E7C"/>
    <w:rsid w:val="00EE621B"/>
    <w:rsid w:val="00F009F3"/>
    <w:rsid w:val="00F01436"/>
    <w:rsid w:val="00F7559B"/>
    <w:rsid w:val="00FA53D5"/>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7EA23A3-4BEA-48A6-8406-2C4C3574C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34380D"/>
    <w:pPr>
      <w:numPr>
        <w:numId w:val="3"/>
      </w:numPr>
      <w:tabs>
        <w:tab w:val="left" w:pos="2592"/>
        <w:tab w:val="left" w:pos="3240"/>
      </w:tabs>
      <w:autoSpaceDE/>
      <w:autoSpaceDN/>
      <w:adjustRightInd/>
      <w:spacing w:after="120"/>
      <w:contextualSpacing w:val="0"/>
    </w:pPr>
    <w:rPr>
      <w:rFonts w:ascii="Times New Roman" w:hAnsi="Times New Roman" w:cs="Times New Roman"/>
      <w:sz w:val="24"/>
      <w:szCs w:val="24"/>
    </w:rPr>
  </w:style>
  <w:style w:type="paragraph" w:styleId="List2">
    <w:name w:val="List 2"/>
    <w:basedOn w:val="Normal"/>
    <w:uiPriority w:val="99"/>
    <w:semiHidden/>
    <w:unhideWhenUsed/>
    <w:rsid w:val="0034380D"/>
    <w:pPr>
      <w:ind w:left="720" w:hanging="360"/>
      <w:contextualSpacing/>
    </w:pPr>
  </w:style>
  <w:style w:type="paragraph" w:styleId="ListParagraph">
    <w:name w:val="List Paragraph"/>
    <w:basedOn w:val="Normal"/>
    <w:uiPriority w:val="34"/>
    <w:qFormat/>
    <w:rsid w:val="0034380D"/>
    <w:pPr>
      <w:ind w:left="720"/>
    </w:pPr>
  </w:style>
  <w:style w:type="character" w:styleId="Strong">
    <w:name w:val="Strong"/>
    <w:qFormat/>
    <w:rsid w:val="00301E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66266657">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 w:id="210522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1515</Words>
  <Characters>8637</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Subject Matter Experts</vt:lpstr>
      <vt:lpstr>Reliability Standard Language</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10132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2010-06-29T15:42:00Z</cp:lastPrinted>
  <dcterms:created xsi:type="dcterms:W3CDTF">2013-09-25T18:42:00Z</dcterms:created>
  <dcterms:modified xsi:type="dcterms:W3CDTF">2013-10-18T20:14:00Z</dcterms:modified>
</cp:coreProperties>
</file>